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3AAF" w14:textId="0D45F65C" w:rsidR="00327AD7" w:rsidRDefault="00327AD7" w:rsidP="00E35EF1"/>
    <w:p w14:paraId="5008D1AE" w14:textId="7D60EB21" w:rsidR="001365EC" w:rsidRDefault="001365EC" w:rsidP="00E35EF1"/>
    <w:p w14:paraId="0A2958E9" w14:textId="7D40E45F" w:rsidR="001365EC" w:rsidRDefault="001365EC" w:rsidP="00E35EF1"/>
    <w:p w14:paraId="3D860361" w14:textId="593C653F" w:rsidR="001365EC" w:rsidRDefault="001365EC" w:rsidP="00E35EF1"/>
    <w:p w14:paraId="64AF56CB" w14:textId="77777777" w:rsidR="00B67DC4" w:rsidRDefault="00B67DC4" w:rsidP="00E35EF1">
      <w:pPr>
        <w:rPr>
          <w:sz w:val="22"/>
          <w:szCs w:val="24"/>
        </w:rPr>
      </w:pPr>
    </w:p>
    <w:p w14:paraId="7D0506E3" w14:textId="3C31FC78" w:rsidR="001365EC" w:rsidRDefault="001365EC" w:rsidP="00E35EF1">
      <w:pPr>
        <w:rPr>
          <w:sz w:val="22"/>
          <w:szCs w:val="24"/>
        </w:rPr>
      </w:pPr>
      <w:r>
        <w:rPr>
          <w:sz w:val="22"/>
          <w:szCs w:val="24"/>
        </w:rPr>
        <w:t xml:space="preserve">As DTCC continues to review and understand usage of fund level dates for reporting on fixed annuities and fixed accounts within the Positions and Valuations (POV) file. </w:t>
      </w:r>
    </w:p>
    <w:p w14:paraId="7063C7E5" w14:textId="3EF880BF" w:rsidR="001365EC" w:rsidRDefault="001365EC" w:rsidP="00E35EF1">
      <w:pPr>
        <w:rPr>
          <w:sz w:val="22"/>
          <w:szCs w:val="24"/>
        </w:rPr>
      </w:pPr>
    </w:p>
    <w:p w14:paraId="5E6FF03C" w14:textId="4A145FBD" w:rsidR="001365EC" w:rsidRDefault="00377C83" w:rsidP="00E35EF1">
      <w:pPr>
        <w:rPr>
          <w:sz w:val="22"/>
          <w:szCs w:val="24"/>
        </w:rPr>
      </w:pPr>
      <w:r>
        <w:rPr>
          <w:sz w:val="22"/>
          <w:szCs w:val="24"/>
        </w:rPr>
        <w:t xml:space="preserve">. </w:t>
      </w:r>
      <w:r w:rsidR="00E36B01">
        <w:rPr>
          <w:sz w:val="22"/>
          <w:szCs w:val="24"/>
        </w:rPr>
        <w:t xml:space="preserve"> This document may be used to define the expected reporting defined within the 13/04 – Contract Band/Guaranteed Loop within the Underlying Assets record, there are number of date related fields to allow the carrier to report fund related dates.</w:t>
      </w:r>
    </w:p>
    <w:p w14:paraId="74809030" w14:textId="032867A5" w:rsidR="00E36B01" w:rsidRDefault="00E36B01" w:rsidP="00E35EF1">
      <w:pPr>
        <w:rPr>
          <w:sz w:val="22"/>
          <w:szCs w:val="24"/>
        </w:rPr>
      </w:pPr>
    </w:p>
    <w:p w14:paraId="7ACFE084" w14:textId="75B271B9" w:rsidR="00E36B01" w:rsidRPr="00E36B01" w:rsidRDefault="00E0441B" w:rsidP="00E36B01">
      <w:pPr>
        <w:pStyle w:val="ListParagraph"/>
        <w:numPr>
          <w:ilvl w:val="0"/>
          <w:numId w:val="1"/>
        </w:numPr>
        <w:rPr>
          <w:rFonts w:eastAsia="Times New Roman" w:cs="Arial"/>
          <w:color w:val="auto"/>
          <w:sz w:val="22"/>
        </w:rPr>
      </w:pPr>
      <w:r w:rsidRPr="00B67DC4">
        <w:rPr>
          <w:rFonts w:eastAsia="Times New Roman" w:cs="Arial"/>
          <w:b/>
          <w:bCs/>
          <w:color w:val="auto"/>
          <w:sz w:val="22"/>
        </w:rPr>
        <w:t>Deposit/Guaranteed Start Date</w:t>
      </w:r>
      <w:r w:rsidRPr="00E36B01">
        <w:rPr>
          <w:rFonts w:eastAsia="Times New Roman" w:cs="Arial"/>
          <w:color w:val="auto"/>
          <w:sz w:val="22"/>
        </w:rPr>
        <w:t xml:space="preserve"> </w:t>
      </w:r>
      <w:r w:rsidR="00E36B01" w:rsidRPr="00E36B01">
        <w:rPr>
          <w:rFonts w:eastAsia="Times New Roman" w:cs="Arial"/>
          <w:color w:val="auto"/>
          <w:sz w:val="22"/>
        </w:rPr>
        <w:t xml:space="preserve">(item # 3151) </w:t>
      </w:r>
      <w:r w:rsidR="00E36B01" w:rsidRPr="00E36B01">
        <w:rPr>
          <w:rFonts w:eastAsia="Times New Roman" w:cs="Arial"/>
          <w:color w:val="auto"/>
          <w:sz w:val="24"/>
          <w:szCs w:val="24"/>
        </w:rPr>
        <w:t>- s</w:t>
      </w:r>
      <w:r w:rsidR="00E36B01" w:rsidRPr="00E36B01">
        <w:rPr>
          <w:rFonts w:eastAsia="Times New Roman" w:cs="Arial"/>
          <w:color w:val="auto"/>
          <w:sz w:val="22"/>
        </w:rPr>
        <w:t>tarting date for deposit for a rate.</w:t>
      </w:r>
    </w:p>
    <w:p w14:paraId="0DB4AA11" w14:textId="2C20C4D6" w:rsidR="00E36B01" w:rsidRPr="00E36B01" w:rsidRDefault="00E36B01" w:rsidP="00E36B01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67DC4">
        <w:rPr>
          <w:rFonts w:eastAsia="Times New Roman" w:cs="Arial"/>
          <w:b/>
          <w:bCs/>
          <w:color w:val="auto"/>
          <w:sz w:val="22"/>
        </w:rPr>
        <w:t>Deposit/Guaranteed End Date</w:t>
      </w:r>
      <w:r w:rsidRPr="00E36B01">
        <w:rPr>
          <w:rFonts w:eastAsia="Times New Roman" w:cs="Arial"/>
          <w:color w:val="auto"/>
          <w:sz w:val="22"/>
        </w:rPr>
        <w:t xml:space="preserve"> (#3152) - ending date for deposit for a rate.</w:t>
      </w:r>
    </w:p>
    <w:p w14:paraId="002C080F" w14:textId="4AEC1C29" w:rsidR="00E36B01" w:rsidRPr="00E36B01" w:rsidRDefault="00E36B01" w:rsidP="00E36B01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67DC4">
        <w:rPr>
          <w:rFonts w:eastAsia="Times New Roman" w:cs="Arial"/>
          <w:b/>
          <w:bCs/>
          <w:color w:val="auto"/>
          <w:sz w:val="22"/>
        </w:rPr>
        <w:t>Deposit/Guaranteed Maturity Date</w:t>
      </w:r>
      <w:r>
        <w:rPr>
          <w:rFonts w:eastAsia="Times New Roman" w:cs="Arial"/>
          <w:color w:val="auto"/>
          <w:sz w:val="22"/>
        </w:rPr>
        <w:t xml:space="preserve"> (#3153) – date deposit must be maintained or final date to get the rate.  </w:t>
      </w:r>
    </w:p>
    <w:p w14:paraId="6D79185D" w14:textId="59A8A8CF" w:rsidR="00E36B01" w:rsidRPr="00377C83" w:rsidRDefault="00E36B01" w:rsidP="00E36B01">
      <w:pPr>
        <w:rPr>
          <w:rFonts w:eastAsia="Times New Roman" w:cs="Arial"/>
          <w:color w:val="auto"/>
          <w:szCs w:val="20"/>
        </w:rPr>
      </w:pPr>
    </w:p>
    <w:p w14:paraId="60240615" w14:textId="610A3868" w:rsidR="00377C83" w:rsidRDefault="00377C83" w:rsidP="00E35EF1">
      <w:pPr>
        <w:rPr>
          <w:sz w:val="22"/>
          <w:szCs w:val="24"/>
        </w:rPr>
      </w:pPr>
    </w:p>
    <w:p w14:paraId="6022D362" w14:textId="4A9B6CC5" w:rsidR="00377C83" w:rsidRPr="00377C83" w:rsidRDefault="00377C83" w:rsidP="00E35EF1">
      <w:pPr>
        <w:rPr>
          <w:sz w:val="22"/>
          <w:szCs w:val="24"/>
          <w:u w:val="single"/>
        </w:rPr>
      </w:pPr>
      <w:r w:rsidRPr="00B67DC4">
        <w:rPr>
          <w:b/>
          <w:bCs/>
          <w:sz w:val="22"/>
          <w:szCs w:val="24"/>
          <w:u w:val="single"/>
        </w:rPr>
        <w:t>Business Scenario</w:t>
      </w:r>
      <w:r w:rsidRPr="00377C83">
        <w:rPr>
          <w:sz w:val="22"/>
          <w:szCs w:val="24"/>
          <w:u w:val="single"/>
        </w:rPr>
        <w:t>:</w:t>
      </w:r>
    </w:p>
    <w:p w14:paraId="47A88FB7" w14:textId="289E4AA1" w:rsidR="00377C83" w:rsidRDefault="00377C83" w:rsidP="00E35EF1">
      <w:pPr>
        <w:rPr>
          <w:sz w:val="22"/>
          <w:szCs w:val="24"/>
        </w:rPr>
      </w:pPr>
    </w:p>
    <w:p w14:paraId="3D17F2B9" w14:textId="77777777" w:rsidR="00E36B01" w:rsidRDefault="00377C83" w:rsidP="00377C83">
      <w:pPr>
        <w:rPr>
          <w:rFonts w:asciiTheme="minorHAnsi" w:eastAsia="Times New Roman" w:hAnsiTheme="minorHAnsi" w:cstheme="minorHAnsi"/>
          <w:color w:val="000000"/>
          <w:sz w:val="22"/>
        </w:rPr>
      </w:pPr>
      <w:r w:rsidRPr="00377C83">
        <w:rPr>
          <w:rFonts w:asciiTheme="minorHAnsi" w:eastAsia="Times New Roman" w:hAnsiTheme="minorHAnsi" w:cstheme="minorHAnsi"/>
          <w:color w:val="000000"/>
          <w:sz w:val="22"/>
        </w:rPr>
        <w:t xml:space="preserve">Business Scenario:  Fixed Annuity that has a 7-year surrender charge. </w:t>
      </w:r>
      <w:r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377C83">
        <w:rPr>
          <w:rFonts w:asciiTheme="minorHAnsi" w:eastAsia="Times New Roman" w:hAnsiTheme="minorHAnsi" w:cstheme="minorHAnsi"/>
          <w:color w:val="000000"/>
          <w:sz w:val="22"/>
        </w:rPr>
        <w:t>The chosen term for the initial investment is 1 year</w:t>
      </w:r>
      <w:r>
        <w:rPr>
          <w:rFonts w:asciiTheme="minorHAnsi" w:eastAsia="Times New Roman" w:hAnsiTheme="minorHAnsi" w:cstheme="minorHAnsi"/>
          <w:color w:val="000000"/>
          <w:sz w:val="22"/>
        </w:rPr>
        <w:t xml:space="preserve"> and is guaranteed for 1 year at 5% with a rate bonus of .50%.  </w:t>
      </w:r>
    </w:p>
    <w:p w14:paraId="2F82C4A6" w14:textId="77777777" w:rsidR="00E36B01" w:rsidRDefault="00E36B01" w:rsidP="00377C83">
      <w:pPr>
        <w:rPr>
          <w:rFonts w:asciiTheme="minorHAnsi" w:eastAsia="Times New Roman" w:hAnsiTheme="minorHAnsi" w:cstheme="minorHAnsi"/>
          <w:color w:val="000000"/>
          <w:sz w:val="22"/>
        </w:rPr>
      </w:pPr>
    </w:p>
    <w:p w14:paraId="64EC6EB8" w14:textId="2C42E295" w:rsidR="00377C83" w:rsidRPr="00377C83" w:rsidRDefault="00377C83" w:rsidP="00377C83">
      <w:pPr>
        <w:rPr>
          <w:rFonts w:asciiTheme="minorHAnsi" w:eastAsia="Times New Roman" w:hAnsiTheme="minorHAnsi" w:cstheme="minorHAnsi"/>
          <w:color w:val="000000"/>
          <w:sz w:val="22"/>
        </w:rPr>
      </w:pP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1638"/>
        <w:gridCol w:w="3870"/>
        <w:gridCol w:w="1890"/>
      </w:tblGrid>
      <w:tr w:rsidR="00E0441B" w14:paraId="1DADCDE0" w14:textId="77777777" w:rsidTr="00E0441B">
        <w:tc>
          <w:tcPr>
            <w:tcW w:w="1638" w:type="dxa"/>
          </w:tcPr>
          <w:p w14:paraId="5DEAECE1" w14:textId="020CD367" w:rsidR="00E0441B" w:rsidRDefault="00E0441B" w:rsidP="00E35E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3151</w:t>
            </w:r>
          </w:p>
        </w:tc>
        <w:tc>
          <w:tcPr>
            <w:tcW w:w="3870" w:type="dxa"/>
          </w:tcPr>
          <w:p w14:paraId="188E499C" w14:textId="59C1CDE7" w:rsidR="00E0441B" w:rsidRDefault="00E0441B" w:rsidP="00E35EF1">
            <w:pPr>
              <w:rPr>
                <w:sz w:val="22"/>
                <w:szCs w:val="24"/>
              </w:rPr>
            </w:pPr>
            <w:r w:rsidRPr="00E36B01">
              <w:rPr>
                <w:rFonts w:eastAsia="Times New Roman" w:cs="Arial"/>
                <w:color w:val="auto"/>
                <w:sz w:val="22"/>
              </w:rPr>
              <w:t>Deposit/Guaranteed Start Date</w:t>
            </w:r>
          </w:p>
        </w:tc>
        <w:tc>
          <w:tcPr>
            <w:tcW w:w="1890" w:type="dxa"/>
          </w:tcPr>
          <w:p w14:paraId="25AA9F4B" w14:textId="4EC9ABB7" w:rsidR="00E0441B" w:rsidRDefault="00E0441B" w:rsidP="00E35E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9/1/2023</w:t>
            </w:r>
          </w:p>
        </w:tc>
      </w:tr>
      <w:tr w:rsidR="00E0441B" w14:paraId="73D37ED5" w14:textId="77777777" w:rsidTr="00E0441B">
        <w:tc>
          <w:tcPr>
            <w:tcW w:w="1638" w:type="dxa"/>
          </w:tcPr>
          <w:p w14:paraId="1B9ED74B" w14:textId="5567B455" w:rsidR="00E0441B" w:rsidRDefault="00E0441B" w:rsidP="00E35E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3152</w:t>
            </w:r>
          </w:p>
        </w:tc>
        <w:tc>
          <w:tcPr>
            <w:tcW w:w="3870" w:type="dxa"/>
          </w:tcPr>
          <w:p w14:paraId="37B61217" w14:textId="2C309CFB" w:rsidR="00E0441B" w:rsidRPr="00E36B01" w:rsidRDefault="00E0441B" w:rsidP="00E35EF1">
            <w:pPr>
              <w:rPr>
                <w:rFonts w:eastAsia="Times New Roman" w:cs="Arial"/>
                <w:color w:val="auto"/>
                <w:sz w:val="22"/>
              </w:rPr>
            </w:pPr>
            <w:r w:rsidRPr="00E36B01">
              <w:rPr>
                <w:rFonts w:eastAsia="Times New Roman" w:cs="Arial"/>
                <w:color w:val="auto"/>
                <w:sz w:val="22"/>
              </w:rPr>
              <w:t xml:space="preserve">Deposit/Guaranteed </w:t>
            </w:r>
            <w:r>
              <w:rPr>
                <w:rFonts w:eastAsia="Times New Roman" w:cs="Arial"/>
                <w:color w:val="auto"/>
                <w:sz w:val="22"/>
              </w:rPr>
              <w:t>End</w:t>
            </w:r>
            <w:r w:rsidRPr="00E36B01">
              <w:rPr>
                <w:rFonts w:eastAsia="Times New Roman" w:cs="Arial"/>
                <w:color w:val="auto"/>
                <w:sz w:val="22"/>
              </w:rPr>
              <w:t xml:space="preserve"> Date</w:t>
            </w:r>
          </w:p>
        </w:tc>
        <w:tc>
          <w:tcPr>
            <w:tcW w:w="1890" w:type="dxa"/>
          </w:tcPr>
          <w:p w14:paraId="5EE0DEE2" w14:textId="52DB0E44" w:rsidR="00E0441B" w:rsidRDefault="00E0441B" w:rsidP="00E35E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9/1/2024</w:t>
            </w:r>
          </w:p>
        </w:tc>
      </w:tr>
      <w:tr w:rsidR="00E0441B" w14:paraId="62F417E3" w14:textId="77777777" w:rsidTr="00E0441B">
        <w:tc>
          <w:tcPr>
            <w:tcW w:w="1638" w:type="dxa"/>
          </w:tcPr>
          <w:p w14:paraId="745E9444" w14:textId="69D66B7D" w:rsidR="00E0441B" w:rsidRDefault="00E0441B" w:rsidP="00E35E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3153</w:t>
            </w:r>
          </w:p>
        </w:tc>
        <w:tc>
          <w:tcPr>
            <w:tcW w:w="3870" w:type="dxa"/>
          </w:tcPr>
          <w:p w14:paraId="6B6AED56" w14:textId="1B53C44A" w:rsidR="00E0441B" w:rsidRPr="00E36B01" w:rsidRDefault="00E0441B" w:rsidP="00E35EF1">
            <w:pPr>
              <w:rPr>
                <w:rFonts w:eastAsia="Times New Roman" w:cs="Arial"/>
                <w:color w:val="auto"/>
                <w:sz w:val="22"/>
              </w:rPr>
            </w:pPr>
            <w:r w:rsidRPr="00E36B01">
              <w:rPr>
                <w:rFonts w:eastAsia="Times New Roman" w:cs="Arial"/>
                <w:color w:val="auto"/>
                <w:sz w:val="22"/>
              </w:rPr>
              <w:t xml:space="preserve">Deposit/Guaranteed </w:t>
            </w:r>
            <w:r>
              <w:rPr>
                <w:rFonts w:eastAsia="Times New Roman" w:cs="Arial"/>
                <w:color w:val="auto"/>
                <w:sz w:val="22"/>
              </w:rPr>
              <w:t>Maturity</w:t>
            </w:r>
            <w:r w:rsidRPr="00E36B01">
              <w:rPr>
                <w:rFonts w:eastAsia="Times New Roman" w:cs="Arial"/>
                <w:color w:val="auto"/>
                <w:sz w:val="22"/>
              </w:rPr>
              <w:t xml:space="preserve"> Date</w:t>
            </w:r>
          </w:p>
        </w:tc>
        <w:tc>
          <w:tcPr>
            <w:tcW w:w="1890" w:type="dxa"/>
          </w:tcPr>
          <w:p w14:paraId="001FE72B" w14:textId="0D04E4F3" w:rsidR="00E0441B" w:rsidRDefault="00E0441B" w:rsidP="00E35E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9/1/2024</w:t>
            </w:r>
          </w:p>
        </w:tc>
      </w:tr>
    </w:tbl>
    <w:p w14:paraId="5BA1D296" w14:textId="77777777" w:rsidR="00377C83" w:rsidRDefault="00377C83" w:rsidP="00E35EF1">
      <w:pPr>
        <w:rPr>
          <w:sz w:val="22"/>
          <w:szCs w:val="24"/>
        </w:rPr>
      </w:pPr>
    </w:p>
    <w:p w14:paraId="65A2E19A" w14:textId="34B5BAF8" w:rsidR="00377C83" w:rsidRDefault="00377C83" w:rsidP="00E35EF1">
      <w:pPr>
        <w:rPr>
          <w:sz w:val="22"/>
          <w:szCs w:val="24"/>
        </w:rPr>
      </w:pPr>
    </w:p>
    <w:p w14:paraId="3AD296C2" w14:textId="7EE1A4CD" w:rsidR="00377C83" w:rsidRPr="00B67DC4" w:rsidRDefault="00E0441B" w:rsidP="00E35EF1">
      <w:pPr>
        <w:rPr>
          <w:i/>
          <w:iCs/>
          <w:sz w:val="22"/>
          <w:szCs w:val="24"/>
        </w:rPr>
      </w:pPr>
      <w:r w:rsidRPr="00B67DC4">
        <w:rPr>
          <w:i/>
          <w:iCs/>
          <w:sz w:val="22"/>
          <w:szCs w:val="24"/>
        </w:rPr>
        <w:t xml:space="preserve">Please note:  the Maturity Date (3153) will be optional but feel that this date should be used when specifically reporting the date </w:t>
      </w:r>
      <w:r w:rsidR="00B67DC4" w:rsidRPr="00B67DC4">
        <w:rPr>
          <w:i/>
          <w:iCs/>
          <w:sz w:val="22"/>
          <w:szCs w:val="24"/>
        </w:rPr>
        <w:t xml:space="preserve">where the funds must continue to be invested to ensure complete rate inclusion.  </w:t>
      </w:r>
    </w:p>
    <w:p w14:paraId="317C35F9" w14:textId="052F61B6" w:rsidR="00B67DC4" w:rsidRDefault="00B67DC4" w:rsidP="00E35EF1">
      <w:pPr>
        <w:rPr>
          <w:sz w:val="22"/>
          <w:szCs w:val="24"/>
        </w:rPr>
      </w:pPr>
    </w:p>
    <w:p w14:paraId="05C424D7" w14:textId="77777777" w:rsidR="00B67DC4" w:rsidRPr="001365EC" w:rsidRDefault="00B67DC4" w:rsidP="00E35EF1">
      <w:pPr>
        <w:rPr>
          <w:sz w:val="22"/>
          <w:szCs w:val="24"/>
        </w:rPr>
      </w:pPr>
    </w:p>
    <w:p w14:paraId="381FD3D4" w14:textId="3F880DD9" w:rsidR="001365EC" w:rsidRPr="00B67DC4" w:rsidRDefault="00B67DC4" w:rsidP="00E35EF1">
      <w:pPr>
        <w:rPr>
          <w:sz w:val="22"/>
          <w:szCs w:val="24"/>
        </w:rPr>
      </w:pPr>
      <w:r w:rsidRPr="00B67DC4">
        <w:rPr>
          <w:sz w:val="22"/>
          <w:szCs w:val="24"/>
        </w:rPr>
        <w:t xml:space="preserve">It was determined if the maturity date, at the contract level, will be reported at the contract/policy level on the 13/02 Contract Date record under the Maturity Date (code = 917).  </w:t>
      </w:r>
    </w:p>
    <w:p w14:paraId="61881246" w14:textId="77777777" w:rsidR="00B67DC4" w:rsidRDefault="00B67DC4" w:rsidP="00E35EF1"/>
    <w:p w14:paraId="13AF55DC" w14:textId="487D8940" w:rsidR="001365EC" w:rsidRDefault="001365EC" w:rsidP="00E35EF1"/>
    <w:p w14:paraId="13073C29" w14:textId="77777777" w:rsidR="001365EC" w:rsidRPr="001365EC" w:rsidRDefault="001365EC" w:rsidP="00E35EF1">
      <w:pPr>
        <w:rPr>
          <w:sz w:val="22"/>
          <w:szCs w:val="24"/>
        </w:rPr>
      </w:pPr>
    </w:p>
    <w:sectPr w:rsidR="001365EC" w:rsidRPr="00136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194E" w14:textId="77777777" w:rsidR="001365EC" w:rsidRDefault="001365EC" w:rsidP="00D404FB">
      <w:r>
        <w:separator/>
      </w:r>
    </w:p>
  </w:endnote>
  <w:endnote w:type="continuationSeparator" w:id="0">
    <w:p w14:paraId="7A979A76" w14:textId="77777777" w:rsidR="001365EC" w:rsidRDefault="001365EC" w:rsidP="00D4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572E" w14:textId="77777777" w:rsidR="00CD52FC" w:rsidRDefault="00CD5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03D4" w14:textId="60A23EC2" w:rsidR="0099492F" w:rsidRDefault="00CD52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4E82BA" wp14:editId="22A6DB1C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a5e24d7e8577a75a6c579688" descr="{&quot;HashCode&quot;:-11474425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266A9" w14:textId="6EB5CE8D" w:rsidR="00CD52FC" w:rsidRPr="00CD52FC" w:rsidRDefault="00CD52FC" w:rsidP="00CD52FC">
                          <w:pPr>
                            <w:rPr>
                              <w:rFonts w:cs="Arial"/>
                              <w:color w:val="737373"/>
                            </w:rPr>
                          </w:pPr>
                          <w:r w:rsidRPr="00CD52FC">
                            <w:rPr>
                              <w:rFonts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E82BA" id="_x0000_t202" coordsize="21600,21600" o:spt="202" path="m,l,21600r21600,l21600,xe">
              <v:stroke joinstyle="miter"/>
              <v:path gradientshapeok="t" o:connecttype="rect"/>
            </v:shapetype>
            <v:shape id="MSIPCMa5e24d7e8577a75a6c579688" o:spid="_x0000_s1026" type="#_x0000_t202" alt="{&quot;HashCode&quot;:-114744250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A3266A9" w14:textId="6EB5CE8D" w:rsidR="00CD52FC" w:rsidRPr="00CD52FC" w:rsidRDefault="00CD52FC" w:rsidP="00CD52FC">
                    <w:pPr>
                      <w:rPr>
                        <w:rFonts w:cs="Arial"/>
                        <w:color w:val="737373"/>
                      </w:rPr>
                    </w:pPr>
                    <w:r w:rsidRPr="00CD52FC">
                      <w:rPr>
                        <w:rFonts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492F">
      <w:t>Updated:  February 2024</w:t>
    </w:r>
  </w:p>
  <w:p w14:paraId="4D490606" w14:textId="056C9801" w:rsidR="00B67DC4" w:rsidRDefault="00B67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1420" w14:textId="77777777" w:rsidR="00CD52FC" w:rsidRDefault="00CD5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0BA4" w14:textId="77777777" w:rsidR="001365EC" w:rsidRDefault="001365EC" w:rsidP="00D404FB">
      <w:r>
        <w:separator/>
      </w:r>
    </w:p>
  </w:footnote>
  <w:footnote w:type="continuationSeparator" w:id="0">
    <w:p w14:paraId="4E43E4B6" w14:textId="77777777" w:rsidR="001365EC" w:rsidRDefault="001365EC" w:rsidP="00D4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03D8" w14:textId="77777777" w:rsidR="00CD52FC" w:rsidRDefault="00CD5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BE49" w14:textId="658D9828" w:rsidR="00377C83" w:rsidRDefault="001365EC">
    <w:pPr>
      <w:pStyle w:val="Header"/>
      <w:rPr>
        <w:b/>
        <w:bCs/>
        <w:sz w:val="22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94CC06" wp14:editId="4C4FF1B4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B04DCD" id="Group 159" o:spid="_x0000_s1026" style="position:absolute;margin-left:-1in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0e5447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>
      <w:t xml:space="preserve"> </w:t>
    </w:r>
    <w:r>
      <w:tab/>
    </w:r>
    <w:r w:rsidRPr="001365EC">
      <w:rPr>
        <w:b/>
        <w:bCs/>
        <w:sz w:val="22"/>
        <w:szCs w:val="24"/>
      </w:rPr>
      <w:t>Positions &amp; Valuations (POV) Standard Usag</w:t>
    </w:r>
    <w:r w:rsidR="00377C83">
      <w:rPr>
        <w:b/>
        <w:bCs/>
        <w:sz w:val="22"/>
        <w:szCs w:val="24"/>
      </w:rPr>
      <w:t>e</w:t>
    </w:r>
  </w:p>
  <w:p w14:paraId="68636835" w14:textId="6FB1C145" w:rsidR="001365EC" w:rsidRPr="001365EC" w:rsidRDefault="00377C83">
    <w:pPr>
      <w:pStyle w:val="Header"/>
      <w:rPr>
        <w:b/>
        <w:bCs/>
      </w:rPr>
    </w:pPr>
    <w:r>
      <w:rPr>
        <w:b/>
        <w:bCs/>
        <w:sz w:val="22"/>
        <w:szCs w:val="24"/>
      </w:rPr>
      <w:tab/>
    </w:r>
    <w:r w:rsidR="001365EC" w:rsidRPr="001365EC">
      <w:rPr>
        <w:b/>
        <w:bCs/>
        <w:sz w:val="22"/>
        <w:szCs w:val="24"/>
      </w:rPr>
      <w:t xml:space="preserve"> Fund Level Dates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248D" w14:textId="77777777" w:rsidR="00CD52FC" w:rsidRDefault="00CD5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FDB"/>
    <w:multiLevelType w:val="hybridMultilevel"/>
    <w:tmpl w:val="D4E0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EC"/>
    <w:rsid w:val="00091D76"/>
    <w:rsid w:val="001365EC"/>
    <w:rsid w:val="002024A0"/>
    <w:rsid w:val="00327AD7"/>
    <w:rsid w:val="00377C83"/>
    <w:rsid w:val="00466F75"/>
    <w:rsid w:val="005E4E57"/>
    <w:rsid w:val="006F0680"/>
    <w:rsid w:val="00902D8F"/>
    <w:rsid w:val="0099492F"/>
    <w:rsid w:val="00A40F01"/>
    <w:rsid w:val="00A80BBF"/>
    <w:rsid w:val="00B40937"/>
    <w:rsid w:val="00B67DC4"/>
    <w:rsid w:val="00CD52FC"/>
    <w:rsid w:val="00D404FB"/>
    <w:rsid w:val="00D8095A"/>
    <w:rsid w:val="00E0441B"/>
    <w:rsid w:val="00E35EF1"/>
    <w:rsid w:val="00E36B01"/>
    <w:rsid w:val="00E54033"/>
    <w:rsid w:val="00FC6FBC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4614C"/>
  <w15:chartTrackingRefBased/>
  <w15:docId w15:val="{56083569-D6FE-4BF8-BDD5-D588B0C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0C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D76"/>
    <w:pPr>
      <w:keepNext/>
      <w:keepLines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033"/>
    <w:pPr>
      <w:keepNext/>
      <w:keepLines/>
      <w:spacing w:before="200" w:after="120"/>
      <w:ind w:left="288" w:right="144"/>
      <w:outlineLvl w:val="1"/>
    </w:pPr>
    <w:rPr>
      <w:rFonts w:ascii="Arial Narrow" w:hAnsi="Arial Narrow" w:cstheme="majorBidi"/>
      <w:b/>
      <w:bCs/>
      <w:color w:val="0E5447" w:themeColor="accen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D76"/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4033"/>
    <w:rPr>
      <w:rFonts w:ascii="Arial Narrow" w:hAnsi="Arial Narrow" w:cstheme="majorBidi"/>
      <w:b/>
      <w:bCs/>
      <w:color w:val="0E5447" w:themeColor="accen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E5447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E544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table" w:customStyle="1" w:styleId="IRStable">
    <w:name w:val="IRS table"/>
    <w:basedOn w:val="TableNormal"/>
    <w:uiPriority w:val="99"/>
    <w:rsid w:val="00FC6FBC"/>
    <w:tblPr/>
  </w:style>
  <w:style w:type="paragraph" w:styleId="Header">
    <w:name w:val="header"/>
    <w:basedOn w:val="Normal"/>
    <w:link w:val="HeaderChar"/>
    <w:uiPriority w:val="99"/>
    <w:unhideWhenUsed/>
    <w:rsid w:val="00136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EC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136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EC"/>
    <w:rPr>
      <w:rFonts w:ascii="Arial" w:hAnsi="Arial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36B01"/>
    <w:pPr>
      <w:ind w:left="720"/>
      <w:contextualSpacing/>
    </w:pPr>
  </w:style>
  <w:style w:type="table" w:styleId="TableGrid">
    <w:name w:val="Table Grid"/>
    <w:basedOn w:val="TableNormal"/>
    <w:uiPriority w:val="59"/>
    <w:rsid w:val="00E0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CC">
      <a:dk1>
        <a:sysClr val="windowText" lastClr="000000"/>
      </a:dk1>
      <a:lt1>
        <a:srgbClr val="FFFFFF"/>
      </a:lt1>
      <a:dk2>
        <a:srgbClr val="7F7F7F"/>
      </a:dk2>
      <a:lt2>
        <a:srgbClr val="FBF9F3"/>
      </a:lt2>
      <a:accent1>
        <a:srgbClr val="0E5447"/>
      </a:accent1>
      <a:accent2>
        <a:srgbClr val="F5EAD9"/>
      </a:accent2>
      <a:accent3>
        <a:srgbClr val="FF7540"/>
      </a:accent3>
      <a:accent4>
        <a:srgbClr val="FFA700"/>
      </a:accent4>
      <a:accent5>
        <a:srgbClr val="F6C544"/>
      </a:accent5>
      <a:accent6>
        <a:srgbClr val="B8E0D5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 xsi:nil="true"/>
    <lcf76f155ced4ddcb4097134ff3c332f xmlns="412335f3-ab1e-45f2-8498-eb7eee0ff5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e76211999bc3698cc277d1ba8c0e9869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0599d191d4e15db741a4c9da2c0b480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FCF51-481B-4B65-AC80-049014CD0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6546F-F3A1-48C7-A847-035E027585FC}">
  <ds:schemaRefs>
    <ds:schemaRef ds:uri="412335f3-ab1e-45f2-8498-eb7eee0ff55c"/>
    <ds:schemaRef ds:uri="713c16c5-445b-44f6-8a87-99b8519cf612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e843bdc-5a00-44f3-98dc-8f5c6de9aca7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A71F20-E3FC-4F79-9F04-DE0939EAE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Jeanann F.</dc:creator>
  <cp:keywords/>
  <dc:description/>
  <cp:lastModifiedBy>Andrea Tamanas</cp:lastModifiedBy>
  <cp:revision>2</cp:revision>
  <dcterms:created xsi:type="dcterms:W3CDTF">2024-02-16T20:09:00Z</dcterms:created>
  <dcterms:modified xsi:type="dcterms:W3CDTF">2024-02-16T20:09:00Z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ediaServiceImageTags">
    <vt:lpwstr/>
  </property>
  <property fmtid="{D5CDD505-2E9C-101B-9397-08002B2CF9AE}" pid="4" name="Security Classification">
    <vt:lpwstr/>
  </property>
  <property fmtid="{D5CDD505-2E9C-101B-9397-08002B2CF9AE}" pid="5" name="MSIP_Label_242c581c-cd59-41e0-bc87-8ec6be11c54e_Enabled">
    <vt:lpwstr>true</vt:lpwstr>
  </property>
  <property fmtid="{D5CDD505-2E9C-101B-9397-08002B2CF9AE}" pid="6" name="MSIP_Label_242c581c-cd59-41e0-bc87-8ec6be11c54e_SetDate">
    <vt:lpwstr>2024-02-16T20:08:57Z</vt:lpwstr>
  </property>
  <property fmtid="{D5CDD505-2E9C-101B-9397-08002B2CF9AE}" pid="7" name="MSIP_Label_242c581c-cd59-41e0-bc87-8ec6be11c54e_Method">
    <vt:lpwstr>Privileged</vt:lpwstr>
  </property>
  <property fmtid="{D5CDD505-2E9C-101B-9397-08002B2CF9AE}" pid="8" name="MSIP_Label_242c581c-cd59-41e0-bc87-8ec6be11c54e_Name">
    <vt:lpwstr>242c581c-cd59-41e0-bc87-8ec6be11c54e</vt:lpwstr>
  </property>
  <property fmtid="{D5CDD505-2E9C-101B-9397-08002B2CF9AE}" pid="9" name="MSIP_Label_242c581c-cd59-41e0-bc87-8ec6be11c54e_SiteId">
    <vt:lpwstr>0465519d-7f55-4d47-998b-55e2a86f04a8</vt:lpwstr>
  </property>
  <property fmtid="{D5CDD505-2E9C-101B-9397-08002B2CF9AE}" pid="10" name="MSIP_Label_242c581c-cd59-41e0-bc87-8ec6be11c54e_ActionId">
    <vt:lpwstr>240ee4ad-62cb-4f15-bb06-eea44a67f265</vt:lpwstr>
  </property>
  <property fmtid="{D5CDD505-2E9C-101B-9397-08002B2CF9AE}" pid="11" name="MSIP_Label_242c581c-cd59-41e0-bc87-8ec6be11c54e_ContentBits">
    <vt:lpwstr>2</vt:lpwstr>
  </property>
</Properties>
</file>